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00" w:after="140"/>
      </w:pPr>
      <w:r>
        <w:rPr>
          <w:b/>
          <w:i w:val="0"/>
          <w:color w:val="008F8A"/>
          <w:sz w:val="16"/>
        </w:rPr>
        <w:t>VORLAGE 01 • KI SICHER EINSETZEN</w:t>
      </w:r>
    </w:p>
    <w:p>
      <w:pPr>
        <w:pStyle w:val="Title"/>
      </w:pPr>
      <w:r>
        <w:t>KI-Nutzungsrichtlinie</w:t>
        <w:br/>
        <w:t>für kleine Unternehmen</w:t>
      </w:r>
    </w:p>
    <w:p>
      <w:pPr>
        <w:spacing w:after="280"/>
      </w:pPr>
      <w:r>
        <w:rPr>
          <w:b w:val="0"/>
          <w:i w:val="0"/>
          <w:color w:val="586A7C"/>
          <w:sz w:val="22"/>
        </w:rPr>
        <w:t>Bearbeitbare Mustervorlage mit klaren Regeln für Mitarbeitende – inklusive Freigabe- und Einführungscheckliste.</w:t>
      </w:r>
    </w:p>
    <w:tbl>
      <w:tblPr>
        <w:tblW w:type="auto" w:w="0"/>
        <w:tblLayout w:type="fixed"/>
        <w:tblLook w:firstColumn="1" w:firstRow="1" w:lastColumn="0" w:lastRow="0" w:noHBand="0" w:noVBand="1" w:val="04A0"/>
      </w:tblPr>
      <w:tblGrid>
        <w:gridCol w:w="9638"/>
      </w:tblGrid>
      <w:tr>
        <w:tc>
          <w:tcPr>
            <w:tcW w:type="dxa" w:w="9638"/>
            <w:shd w:fill="ECF4FB"/>
            <w:tcMar>
              <w:top w:w="110" w:type="dxa"/>
              <w:start w:w="160" w:type="dxa"/>
              <w:bottom w:w="100" w:type="dxa"/>
              <w:end w:w="160" w:type="dxa"/>
            </w:tcMar>
          </w:tcPr>
          <w:p>
            <w:pPr>
              <w:spacing w:after="80"/>
            </w:pPr>
            <w:r>
              <w:rPr>
                <w:b/>
                <w:i w:val="0"/>
                <w:color w:val="15243B"/>
                <w:sz w:val="18"/>
              </w:rPr>
              <w:t>Wofür dieses Dokument gedacht ist</w:t>
            </w:r>
          </w:p>
          <w:p>
            <w:pPr>
              <w:spacing w:after="0"/>
            </w:pPr>
            <w:r>
              <w:rPr>
                <w:b w:val="0"/>
                <w:i w:val="0"/>
                <w:sz w:val="18"/>
              </w:rPr>
              <w:t>Dieses Muster hilft, generative KI im Büroalltag sicher und sinnvoll zu verwenden. Die Geschäftsführung passt die Regelungen an genehmigte KI-Tools, Datenarten und bestehende Prozesse an.</w:t>
            </w:r>
          </w:p>
        </w:tc>
      </w:tr>
    </w:tbl>
    <w:p>
      <w:pPr>
        <w:spacing w:after="0"/>
      </w:pPr>
    </w:p>
    <w:p>
      <w:pPr>
        <w:pStyle w:val="Heading1"/>
      </w:pPr>
      <w:r>
        <w:t>In 15 Minuten vorbereitet</w:t>
      </w:r>
    </w:p>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3061"/>
        <w:gridCol w:w="6576"/>
      </w:tblGrid>
      <w:tr>
        <w:tc>
          <w:tcPr>
            <w:tcW w:type="dxa" w:w="3061"/>
            <w:vAlign w:val="center"/>
            <w:tcMar>
              <w:top w:w="105" w:type="dxa"/>
              <w:start w:w="110" w:type="dxa"/>
              <w:bottom w:w="100" w:type="dxa"/>
              <w:end w:w="100" w:type="dxa"/>
            </w:tcMar>
            <w:shd w:fill="15243B"/>
          </w:tcPr>
          <w:p>
            <w:pPr>
              <w:spacing w:after="0"/>
            </w:pPr>
            <w:r>
              <w:rPr>
                <w:b/>
                <w:color w:val="FFFFFF"/>
                <w:sz w:val="18"/>
              </w:rPr>
              <w:t>Feld</w:t>
            </w:r>
          </w:p>
        </w:tc>
        <w:tc>
          <w:tcPr>
            <w:tcW w:type="dxa" w:w="6576"/>
            <w:vAlign w:val="center"/>
            <w:tcMar>
              <w:top w:w="105" w:type="dxa"/>
              <w:start w:w="110" w:type="dxa"/>
              <w:bottom w:w="100" w:type="dxa"/>
              <w:end w:w="100" w:type="dxa"/>
            </w:tcMar>
            <w:shd w:fill="15243B"/>
          </w:tcPr>
          <w:p>
            <w:pPr>
              <w:spacing w:after="0"/>
            </w:pPr>
            <w:r>
              <w:rPr>
                <w:b/>
                <w:color w:val="FFFFFF"/>
                <w:sz w:val="18"/>
              </w:rPr>
              <w:t>Unternehmensangabe</w:t>
            </w:r>
          </w:p>
        </w:tc>
      </w:tr>
      <w:tr>
        <w:tc>
          <w:tcPr>
            <w:tcW w:type="dxa" w:w="3061"/>
            <w:vAlign w:val="center"/>
            <w:tcMar>
              <w:top w:w="105" w:type="dxa"/>
              <w:start w:w="110" w:type="dxa"/>
              <w:bottom w:w="100" w:type="dxa"/>
              <w:end w:w="100" w:type="dxa"/>
            </w:tcMar>
            <w:shd w:fill="F5F8FC"/>
          </w:tcPr>
          <w:p>
            <w:pPr>
              <w:spacing w:after="0"/>
            </w:pPr>
            <w:r>
              <w:rPr>
                <w:b w:val="0"/>
                <w:color w:val="25374A"/>
                <w:sz w:val="18"/>
              </w:rPr>
              <w:t>Unternehmen</w:t>
            </w:r>
          </w:p>
        </w:tc>
        <w:tc>
          <w:tcPr>
            <w:tcW w:type="dxa" w:w="6576"/>
            <w:vAlign w:val="center"/>
            <w:tcMar>
              <w:top w:w="105" w:type="dxa"/>
              <w:start w:w="110" w:type="dxa"/>
              <w:bottom w:w="100" w:type="dxa"/>
              <w:end w:w="100" w:type="dxa"/>
            </w:tcMar>
            <w:shd w:fill="F5F8FC"/>
          </w:tcPr>
          <w:p>
            <w:pPr>
              <w:spacing w:after="0"/>
            </w:pPr>
            <w:r>
              <w:rPr>
                <w:b w:val="0"/>
                <w:color w:val="25374A"/>
                <w:sz w:val="18"/>
              </w:rPr>
              <w:t>[Firmenname eintragen]</w:t>
            </w:r>
          </w:p>
        </w:tc>
      </w:tr>
      <w:tr>
        <w:tc>
          <w:tcPr>
            <w:tcW w:type="dxa" w:w="3061"/>
            <w:vAlign w:val="center"/>
            <w:tcMar>
              <w:top w:w="105" w:type="dxa"/>
              <w:start w:w="110" w:type="dxa"/>
              <w:bottom w:w="100" w:type="dxa"/>
              <w:end w:w="100" w:type="dxa"/>
            </w:tcMar>
          </w:tcPr>
          <w:p>
            <w:pPr>
              <w:spacing w:after="0"/>
            </w:pPr>
            <w:r>
              <w:rPr>
                <w:b w:val="0"/>
                <w:color w:val="25374A"/>
                <w:sz w:val="18"/>
              </w:rPr>
              <w:t>Gültig ab / Version</w:t>
            </w:r>
          </w:p>
        </w:tc>
        <w:tc>
          <w:tcPr>
            <w:tcW w:type="dxa" w:w="6576"/>
            <w:vAlign w:val="center"/>
            <w:tcMar>
              <w:top w:w="105" w:type="dxa"/>
              <w:start w:w="110" w:type="dxa"/>
              <w:bottom w:w="100" w:type="dxa"/>
              <w:end w:w="100" w:type="dxa"/>
            </w:tcMar>
          </w:tcPr>
          <w:p>
            <w:pPr>
              <w:spacing w:after="0"/>
            </w:pPr>
            <w:r>
              <w:rPr>
                <w:b w:val="0"/>
                <w:color w:val="25374A"/>
                <w:sz w:val="18"/>
              </w:rPr>
              <w:t>[Datum] / [1.0]</w:t>
            </w:r>
          </w:p>
        </w:tc>
      </w:tr>
      <w:tr>
        <w:tc>
          <w:tcPr>
            <w:tcW w:type="dxa" w:w="3061"/>
            <w:vAlign w:val="center"/>
            <w:tcMar>
              <w:top w:w="105" w:type="dxa"/>
              <w:start w:w="110" w:type="dxa"/>
              <w:bottom w:w="100" w:type="dxa"/>
              <w:end w:w="100" w:type="dxa"/>
            </w:tcMar>
            <w:shd w:fill="F5F8FC"/>
          </w:tcPr>
          <w:p>
            <w:pPr>
              <w:spacing w:after="0"/>
            </w:pPr>
            <w:r>
              <w:rPr>
                <w:b w:val="0"/>
                <w:color w:val="25374A"/>
                <w:sz w:val="18"/>
              </w:rPr>
              <w:t>Verantwortliche Stelle</w:t>
            </w:r>
          </w:p>
        </w:tc>
        <w:tc>
          <w:tcPr>
            <w:tcW w:type="dxa" w:w="6576"/>
            <w:vAlign w:val="center"/>
            <w:tcMar>
              <w:top w:w="105" w:type="dxa"/>
              <w:start w:w="110" w:type="dxa"/>
              <w:bottom w:w="100" w:type="dxa"/>
              <w:end w:w="100" w:type="dxa"/>
            </w:tcMar>
            <w:shd w:fill="F5F8FC"/>
          </w:tcPr>
          <w:p>
            <w:pPr>
              <w:spacing w:after="0"/>
            </w:pPr>
            <w:r>
              <w:rPr>
                <w:b w:val="0"/>
                <w:color w:val="25374A"/>
                <w:sz w:val="18"/>
              </w:rPr>
              <w:t>[Name / Rolle]</w:t>
            </w:r>
          </w:p>
        </w:tc>
      </w:tr>
      <w:tr>
        <w:tc>
          <w:tcPr>
            <w:tcW w:type="dxa" w:w="3061"/>
            <w:vAlign w:val="center"/>
            <w:tcMar>
              <w:top w:w="105" w:type="dxa"/>
              <w:start w:w="110" w:type="dxa"/>
              <w:bottom w:w="100" w:type="dxa"/>
              <w:end w:w="100" w:type="dxa"/>
            </w:tcMar>
          </w:tcPr>
          <w:p>
            <w:pPr>
              <w:spacing w:after="0"/>
            </w:pPr>
            <w:r>
              <w:rPr>
                <w:b w:val="0"/>
                <w:color w:val="25374A"/>
                <w:sz w:val="18"/>
              </w:rPr>
              <w:t>Freigegebene KI-Tools</w:t>
            </w:r>
          </w:p>
        </w:tc>
        <w:tc>
          <w:tcPr>
            <w:tcW w:type="dxa" w:w="6576"/>
            <w:vAlign w:val="center"/>
            <w:tcMar>
              <w:top w:w="105" w:type="dxa"/>
              <w:start w:w="110" w:type="dxa"/>
              <w:bottom w:w="100" w:type="dxa"/>
              <w:end w:w="100" w:type="dxa"/>
            </w:tcMar>
          </w:tcPr>
          <w:p>
            <w:pPr>
              <w:spacing w:after="0"/>
            </w:pPr>
            <w:r>
              <w:rPr>
                <w:b w:val="0"/>
                <w:color w:val="25374A"/>
                <w:sz w:val="18"/>
              </w:rPr>
              <w:t>[Tools, Unternehmensaccounts und Zwecke]</w:t>
            </w:r>
          </w:p>
        </w:tc>
      </w:tr>
      <w:tr>
        <w:tc>
          <w:tcPr>
            <w:tcW w:type="dxa" w:w="3061"/>
            <w:vAlign w:val="center"/>
            <w:tcMar>
              <w:top w:w="105" w:type="dxa"/>
              <w:start w:w="110" w:type="dxa"/>
              <w:bottom w:w="100" w:type="dxa"/>
              <w:end w:w="100" w:type="dxa"/>
            </w:tcMar>
            <w:shd w:fill="F5F8FC"/>
          </w:tcPr>
          <w:p>
            <w:pPr>
              <w:spacing w:after="0"/>
            </w:pPr>
            <w:r>
              <w:rPr>
                <w:b w:val="0"/>
                <w:color w:val="25374A"/>
                <w:sz w:val="18"/>
              </w:rPr>
              <w:t>Meldeweg bei Problemen</w:t>
            </w:r>
          </w:p>
        </w:tc>
        <w:tc>
          <w:tcPr>
            <w:tcW w:type="dxa" w:w="6576"/>
            <w:vAlign w:val="center"/>
            <w:tcMar>
              <w:top w:w="105" w:type="dxa"/>
              <w:start w:w="110" w:type="dxa"/>
              <w:bottom w:w="100" w:type="dxa"/>
              <w:end w:w="100" w:type="dxa"/>
            </w:tcMar>
            <w:shd w:fill="F5F8FC"/>
          </w:tcPr>
          <w:p>
            <w:pPr>
              <w:spacing w:after="0"/>
            </w:pPr>
            <w:r>
              <w:rPr>
                <w:b w:val="0"/>
                <w:color w:val="25374A"/>
                <w:sz w:val="18"/>
              </w:rPr>
              <w:t>[interne E-Mail / Telefonnummer]</w:t>
            </w:r>
          </w:p>
        </w:tc>
      </w:tr>
    </w:tbl>
    <w:p>
      <w:pPr>
        <w:spacing w:after="0"/>
      </w:pPr>
    </w:p>
    <w:p>
      <w:pPr>
        <w:pStyle w:val="Heading2"/>
      </w:pPr>
      <w:r>
        <w:t>Drei Prinzipien</w:t>
      </w:r>
    </w:p>
    <w:p>
      <w:pPr>
        <w:spacing w:after="100"/>
        <w:ind w:left="283" w:hanging="181"/>
      </w:pPr>
      <w:r>
        <w:rPr>
          <w:b/>
          <w:i w:val="0"/>
          <w:color w:val="008F8A"/>
          <w:sz w:val="18"/>
        </w:rPr>
        <w:t xml:space="preserve">• </w:t>
      </w:r>
      <w:r>
        <w:rPr>
          <w:b w:val="0"/>
          <w:i w:val="0"/>
          <w:sz w:val="18"/>
        </w:rPr>
        <w:t>Nur freigegebene Systeme und passende Daten verwenden.</w:t>
      </w:r>
    </w:p>
    <w:p>
      <w:pPr>
        <w:spacing w:after="100"/>
        <w:ind w:left="283" w:hanging="181"/>
      </w:pPr>
      <w:r>
        <w:rPr>
          <w:b/>
          <w:i w:val="0"/>
          <w:color w:val="008F8A"/>
          <w:sz w:val="18"/>
        </w:rPr>
        <w:t xml:space="preserve">• </w:t>
      </w:r>
      <w:r>
        <w:rPr>
          <w:b w:val="0"/>
          <w:i w:val="0"/>
          <w:sz w:val="18"/>
        </w:rPr>
        <w:t>Ergebnisse kritisch prüfen; die Verantwortung bleibt beim Menschen.</w:t>
      </w:r>
    </w:p>
    <w:p>
      <w:pPr>
        <w:spacing w:after="100"/>
        <w:ind w:left="283" w:hanging="181"/>
      </w:pPr>
      <w:r>
        <w:rPr>
          <w:b/>
          <w:i w:val="0"/>
          <w:color w:val="008F8A"/>
          <w:sz w:val="18"/>
        </w:rPr>
        <w:t xml:space="preserve">• </w:t>
      </w:r>
      <w:r>
        <w:rPr>
          <w:b w:val="0"/>
          <w:i w:val="0"/>
          <w:sz w:val="18"/>
        </w:rPr>
        <w:t>Unsicherheiten und Vorfälle früh und ohne Vorwürfe melden.</w:t>
      </w:r>
    </w:p>
    <w:tbl>
      <w:tblPr>
        <w:tblW w:type="auto" w:w="0"/>
        <w:tblLayout w:type="fixed"/>
        <w:tblLook w:firstColumn="1" w:firstRow="1" w:lastColumn="0" w:lastRow="0" w:noHBand="0" w:noVBand="1" w:val="04A0"/>
      </w:tblPr>
      <w:tblGrid>
        <w:gridCol w:w="9638"/>
      </w:tblGrid>
      <w:tr>
        <w:tc>
          <w:tcPr>
            <w:tcW w:type="dxa" w:w="9638"/>
            <w:shd w:fill="F5F8FC"/>
            <w:tcMar>
              <w:top w:w="110" w:type="dxa"/>
              <w:start w:w="160" w:type="dxa"/>
              <w:bottom w:w="100" w:type="dxa"/>
              <w:end w:w="160" w:type="dxa"/>
            </w:tcMar>
          </w:tcPr>
          <w:p>
            <w:pPr>
              <w:spacing w:after="80"/>
            </w:pPr>
            <w:r>
              <w:rPr>
                <w:b/>
                <w:i w:val="0"/>
                <w:color w:val="15243B"/>
                <w:sz w:val="18"/>
              </w:rPr>
              <w:t>Wichtig für die Einführung</w:t>
            </w:r>
          </w:p>
          <w:p>
            <w:pPr>
              <w:spacing w:after="0"/>
            </w:pPr>
            <w:r>
              <w:rPr>
                <w:b w:val="0"/>
                <w:i w:val="0"/>
                <w:sz w:val="18"/>
              </w:rPr>
              <w:t>Nicht einfach unverändert veröffentlichen: Prüfen Sie vorab Datenschutz, Vertraulichkeit, Vertragsbedingungen und die tatsächlich eingesetzten KI-Anwendungen.</w:t>
            </w:r>
          </w:p>
        </w:tc>
      </w:tr>
    </w:tbl>
    <w:p>
      <w:pPr>
        <w:spacing w:after="0"/>
      </w:pPr>
    </w:p>
    <w:p>
      <w:r>
        <w:br w:type="page"/>
      </w:r>
    </w:p>
    <w:p>
      <w:pPr>
        <w:spacing w:before="100" w:after="140"/>
      </w:pPr>
      <w:r>
        <w:rPr>
          <w:b/>
          <w:i w:val="0"/>
          <w:color w:val="008F8A"/>
          <w:sz w:val="16"/>
        </w:rPr>
        <w:t>DIE 8 REGELN IM ÜBERBLICK</w:t>
      </w:r>
    </w:p>
    <w:p>
      <w:pPr>
        <w:pStyle w:val="Heading1"/>
      </w:pPr>
      <w:r>
        <w:t>So nutzen Mitarbeitende KI sicher</w:t>
      </w:r>
    </w:p>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1984"/>
        <w:gridCol w:w="7654"/>
      </w:tblGrid>
      <w:tr>
        <w:tc>
          <w:tcPr>
            <w:tcW w:type="dxa" w:w="1984"/>
            <w:vAlign w:val="center"/>
            <w:tcMar>
              <w:top w:w="105" w:type="dxa"/>
              <w:start w:w="110" w:type="dxa"/>
              <w:bottom w:w="100" w:type="dxa"/>
              <w:end w:w="100" w:type="dxa"/>
            </w:tcMar>
            <w:shd w:fill="15243B"/>
          </w:tcPr>
          <w:p>
            <w:pPr>
              <w:spacing w:after="0"/>
            </w:pPr>
            <w:r>
              <w:rPr>
                <w:b/>
                <w:color w:val="FFFFFF"/>
                <w:sz w:val="17"/>
              </w:rPr>
              <w:t>Regel</w:t>
            </w:r>
          </w:p>
        </w:tc>
        <w:tc>
          <w:tcPr>
            <w:tcW w:type="dxa" w:w="7654"/>
            <w:vAlign w:val="center"/>
            <w:tcMar>
              <w:top w:w="105" w:type="dxa"/>
              <w:start w:w="110" w:type="dxa"/>
              <w:bottom w:w="100" w:type="dxa"/>
              <w:end w:w="100" w:type="dxa"/>
            </w:tcMar>
            <w:shd w:fill="15243B"/>
          </w:tcPr>
          <w:p>
            <w:pPr>
              <w:spacing w:after="0"/>
            </w:pPr>
            <w:r>
              <w:rPr>
                <w:b/>
                <w:color w:val="FFFFFF"/>
                <w:sz w:val="17"/>
              </w:rPr>
              <w:t>Was ist konkret zu tun?</w:t>
            </w:r>
          </w:p>
        </w:tc>
      </w:tr>
      <w:tr>
        <w:tc>
          <w:tcPr>
            <w:tcW w:type="dxa" w:w="1984"/>
            <w:vAlign w:val="center"/>
            <w:tcMar>
              <w:top w:w="105" w:type="dxa"/>
              <w:start w:w="110" w:type="dxa"/>
              <w:bottom w:w="100" w:type="dxa"/>
              <w:end w:w="100" w:type="dxa"/>
            </w:tcMar>
            <w:shd w:fill="F5F8FC"/>
          </w:tcPr>
          <w:p>
            <w:pPr>
              <w:spacing w:after="0"/>
            </w:pPr>
            <w:r>
              <w:rPr>
                <w:b w:val="0"/>
                <w:color w:val="25374A"/>
                <w:sz w:val="17"/>
              </w:rPr>
              <w:t>1. Freigabe</w:t>
            </w:r>
          </w:p>
        </w:tc>
        <w:tc>
          <w:tcPr>
            <w:tcW w:type="dxa" w:w="7654"/>
            <w:vAlign w:val="center"/>
            <w:tcMar>
              <w:top w:w="105" w:type="dxa"/>
              <w:start w:w="110" w:type="dxa"/>
              <w:bottom w:w="100" w:type="dxa"/>
              <w:end w:w="100" w:type="dxa"/>
            </w:tcMar>
            <w:shd w:fill="F5F8FC"/>
          </w:tcPr>
          <w:p>
            <w:pPr>
              <w:spacing w:after="0"/>
            </w:pPr>
            <w:r>
              <w:rPr>
                <w:b w:val="0"/>
                <w:color w:val="25374A"/>
                <w:sz w:val="17"/>
              </w:rPr>
              <w:t>Nur vom Unternehmen freigegebene KI-Dienste und Accounts verwenden.</w:t>
            </w:r>
          </w:p>
        </w:tc>
      </w:tr>
      <w:tr>
        <w:tc>
          <w:tcPr>
            <w:tcW w:type="dxa" w:w="1984"/>
            <w:vAlign w:val="center"/>
            <w:tcMar>
              <w:top w:w="105" w:type="dxa"/>
              <w:start w:w="110" w:type="dxa"/>
              <w:bottom w:w="100" w:type="dxa"/>
              <w:end w:w="100" w:type="dxa"/>
            </w:tcMar>
          </w:tcPr>
          <w:p>
            <w:pPr>
              <w:spacing w:after="0"/>
            </w:pPr>
            <w:r>
              <w:rPr>
                <w:b w:val="0"/>
                <w:color w:val="25374A"/>
                <w:sz w:val="17"/>
              </w:rPr>
              <w:t>2. Datensparsamkeit</w:t>
            </w:r>
          </w:p>
        </w:tc>
        <w:tc>
          <w:tcPr>
            <w:tcW w:type="dxa" w:w="7654"/>
            <w:vAlign w:val="center"/>
            <w:tcMar>
              <w:top w:w="105" w:type="dxa"/>
              <w:start w:w="110" w:type="dxa"/>
              <w:bottom w:w="100" w:type="dxa"/>
              <w:end w:w="100" w:type="dxa"/>
            </w:tcMar>
          </w:tcPr>
          <w:p>
            <w:pPr>
              <w:spacing w:after="0"/>
            </w:pPr>
            <w:r>
              <w:rPr>
                <w:b w:val="0"/>
                <w:color w:val="25374A"/>
                <w:sz w:val="17"/>
              </w:rPr>
              <w:t>Keine Kundendaten, Personalakten, Passwörter, Betriebsgeheimnisse oder internen Verträge ohne ausdrückliche Freigabe eingeben.</w:t>
            </w:r>
          </w:p>
        </w:tc>
      </w:tr>
      <w:tr>
        <w:tc>
          <w:tcPr>
            <w:tcW w:type="dxa" w:w="1984"/>
            <w:vAlign w:val="center"/>
            <w:tcMar>
              <w:top w:w="105" w:type="dxa"/>
              <w:start w:w="110" w:type="dxa"/>
              <w:bottom w:w="100" w:type="dxa"/>
              <w:end w:w="100" w:type="dxa"/>
            </w:tcMar>
            <w:shd w:fill="F5F8FC"/>
          </w:tcPr>
          <w:p>
            <w:pPr>
              <w:spacing w:after="0"/>
            </w:pPr>
            <w:r>
              <w:rPr>
                <w:b w:val="0"/>
                <w:color w:val="25374A"/>
                <w:sz w:val="17"/>
              </w:rPr>
              <w:t>3. Faktencheck</w:t>
            </w:r>
          </w:p>
        </w:tc>
        <w:tc>
          <w:tcPr>
            <w:tcW w:type="dxa" w:w="7654"/>
            <w:vAlign w:val="center"/>
            <w:tcMar>
              <w:top w:w="105" w:type="dxa"/>
              <w:start w:w="110" w:type="dxa"/>
              <w:bottom w:w="100" w:type="dxa"/>
              <w:end w:w="100" w:type="dxa"/>
            </w:tcMar>
            <w:shd w:fill="F5F8FC"/>
          </w:tcPr>
          <w:p>
            <w:pPr>
              <w:spacing w:after="0"/>
            </w:pPr>
            <w:r>
              <w:rPr>
                <w:b w:val="0"/>
                <w:color w:val="25374A"/>
                <w:sz w:val="17"/>
              </w:rPr>
              <w:t>Zahlen, Quellen, Rechtsaussagen, Zitate und personenbezogene Aussagen vor Verwendung selbst prüfen.</w:t>
            </w:r>
          </w:p>
        </w:tc>
      </w:tr>
      <w:tr>
        <w:tc>
          <w:tcPr>
            <w:tcW w:type="dxa" w:w="1984"/>
            <w:vAlign w:val="center"/>
            <w:tcMar>
              <w:top w:w="105" w:type="dxa"/>
              <w:start w:w="110" w:type="dxa"/>
              <w:bottom w:w="100" w:type="dxa"/>
              <w:end w:w="100" w:type="dxa"/>
            </w:tcMar>
          </w:tcPr>
          <w:p>
            <w:pPr>
              <w:spacing w:after="0"/>
            </w:pPr>
            <w:r>
              <w:rPr>
                <w:b w:val="0"/>
                <w:color w:val="25374A"/>
                <w:sz w:val="17"/>
              </w:rPr>
              <w:t>4. Mensch entscheidet</w:t>
            </w:r>
          </w:p>
        </w:tc>
        <w:tc>
          <w:tcPr>
            <w:tcW w:type="dxa" w:w="7654"/>
            <w:vAlign w:val="center"/>
            <w:tcMar>
              <w:top w:w="105" w:type="dxa"/>
              <w:start w:w="110" w:type="dxa"/>
              <w:bottom w:w="100" w:type="dxa"/>
              <w:end w:w="100" w:type="dxa"/>
            </w:tcMar>
          </w:tcPr>
          <w:p>
            <w:pPr>
              <w:spacing w:after="0"/>
            </w:pPr>
            <w:r>
              <w:rPr>
                <w:b w:val="0"/>
                <w:color w:val="25374A"/>
                <w:sz w:val="17"/>
              </w:rPr>
              <w:t>Keine rechtlich oder finanziell erheblichen Entscheidungen ausschließlich auf KI-Ausgaben stützen.</w:t>
            </w:r>
          </w:p>
        </w:tc>
      </w:tr>
      <w:tr>
        <w:tc>
          <w:tcPr>
            <w:tcW w:type="dxa" w:w="1984"/>
            <w:vAlign w:val="center"/>
            <w:tcMar>
              <w:top w:w="105" w:type="dxa"/>
              <w:start w:w="110" w:type="dxa"/>
              <w:bottom w:w="100" w:type="dxa"/>
              <w:end w:w="100" w:type="dxa"/>
            </w:tcMar>
            <w:shd w:fill="F5F8FC"/>
          </w:tcPr>
          <w:p>
            <w:pPr>
              <w:spacing w:after="0"/>
            </w:pPr>
            <w:r>
              <w:rPr>
                <w:b w:val="0"/>
                <w:color w:val="25374A"/>
                <w:sz w:val="17"/>
              </w:rPr>
              <w:t>5. Fairness</w:t>
            </w:r>
          </w:p>
        </w:tc>
        <w:tc>
          <w:tcPr>
            <w:tcW w:type="dxa" w:w="7654"/>
            <w:vAlign w:val="center"/>
            <w:tcMar>
              <w:top w:w="105" w:type="dxa"/>
              <w:start w:w="110" w:type="dxa"/>
              <w:bottom w:w="100" w:type="dxa"/>
              <w:end w:w="100" w:type="dxa"/>
            </w:tcMar>
            <w:shd w:fill="F5F8FC"/>
          </w:tcPr>
          <w:p>
            <w:pPr>
              <w:spacing w:after="0"/>
            </w:pPr>
            <w:r>
              <w:rPr>
                <w:b w:val="0"/>
                <w:color w:val="25374A"/>
                <w:sz w:val="17"/>
              </w:rPr>
              <w:t>Ausgaben auf Verzerrungen, diskriminierende Aussagen und unangemessene Empfehlungen kontrollieren.</w:t>
            </w:r>
          </w:p>
        </w:tc>
      </w:tr>
      <w:tr>
        <w:tc>
          <w:tcPr>
            <w:tcW w:type="dxa" w:w="1984"/>
            <w:vAlign w:val="center"/>
            <w:tcMar>
              <w:top w:w="105" w:type="dxa"/>
              <w:start w:w="110" w:type="dxa"/>
              <w:bottom w:w="100" w:type="dxa"/>
              <w:end w:w="100" w:type="dxa"/>
            </w:tcMar>
          </w:tcPr>
          <w:p>
            <w:pPr>
              <w:spacing w:after="0"/>
            </w:pPr>
            <w:r>
              <w:rPr>
                <w:b w:val="0"/>
                <w:color w:val="25374A"/>
                <w:sz w:val="17"/>
              </w:rPr>
              <w:t>6. Urheberrechte</w:t>
            </w:r>
          </w:p>
        </w:tc>
        <w:tc>
          <w:tcPr>
            <w:tcW w:type="dxa" w:w="7654"/>
            <w:vAlign w:val="center"/>
            <w:tcMar>
              <w:top w:w="105" w:type="dxa"/>
              <w:start w:w="110" w:type="dxa"/>
              <w:bottom w:w="100" w:type="dxa"/>
              <w:end w:w="100" w:type="dxa"/>
            </w:tcMar>
          </w:tcPr>
          <w:p>
            <w:pPr>
              <w:spacing w:after="0"/>
            </w:pPr>
            <w:r>
              <w:rPr>
                <w:b w:val="0"/>
                <w:color w:val="25374A"/>
                <w:sz w:val="17"/>
              </w:rPr>
              <w:t>Bilder, Texte, Code und Markenrechte vor externer Veröffentlichung prüfen.</w:t>
            </w:r>
          </w:p>
        </w:tc>
      </w:tr>
      <w:tr>
        <w:tc>
          <w:tcPr>
            <w:tcW w:type="dxa" w:w="1984"/>
            <w:vAlign w:val="center"/>
            <w:tcMar>
              <w:top w:w="105" w:type="dxa"/>
              <w:start w:w="110" w:type="dxa"/>
              <w:bottom w:w="100" w:type="dxa"/>
              <w:end w:w="100" w:type="dxa"/>
            </w:tcMar>
            <w:shd w:fill="F5F8FC"/>
          </w:tcPr>
          <w:p>
            <w:pPr>
              <w:spacing w:after="0"/>
            </w:pPr>
            <w:r>
              <w:rPr>
                <w:b w:val="0"/>
                <w:color w:val="25374A"/>
                <w:sz w:val="17"/>
              </w:rPr>
              <w:t>7. Transparenz</w:t>
            </w:r>
          </w:p>
        </w:tc>
        <w:tc>
          <w:tcPr>
            <w:tcW w:type="dxa" w:w="7654"/>
            <w:vAlign w:val="center"/>
            <w:tcMar>
              <w:top w:w="105" w:type="dxa"/>
              <w:start w:w="110" w:type="dxa"/>
              <w:bottom w:w="100" w:type="dxa"/>
              <w:end w:w="100" w:type="dxa"/>
            </w:tcMar>
            <w:shd w:fill="F5F8FC"/>
          </w:tcPr>
          <w:p>
            <w:pPr>
              <w:spacing w:after="0"/>
            </w:pPr>
            <w:r>
              <w:rPr>
                <w:b w:val="0"/>
                <w:color w:val="25374A"/>
                <w:sz w:val="17"/>
              </w:rPr>
              <w:t>Wesentliche KI-Nutzung offenlegen, soweit intern vorgeschrieben oder rechtlich erforderlich.</w:t>
            </w:r>
          </w:p>
        </w:tc>
      </w:tr>
      <w:tr>
        <w:tc>
          <w:tcPr>
            <w:tcW w:type="dxa" w:w="1984"/>
            <w:vAlign w:val="center"/>
            <w:tcMar>
              <w:top w:w="105" w:type="dxa"/>
              <w:start w:w="110" w:type="dxa"/>
              <w:bottom w:w="100" w:type="dxa"/>
              <w:end w:w="100" w:type="dxa"/>
            </w:tcMar>
          </w:tcPr>
          <w:p>
            <w:pPr>
              <w:spacing w:after="0"/>
            </w:pPr>
            <w:r>
              <w:rPr>
                <w:b w:val="0"/>
                <w:color w:val="25374A"/>
                <w:sz w:val="17"/>
              </w:rPr>
              <w:t>8. Meldung</w:t>
            </w:r>
          </w:p>
        </w:tc>
        <w:tc>
          <w:tcPr>
            <w:tcW w:type="dxa" w:w="7654"/>
            <w:vAlign w:val="center"/>
            <w:tcMar>
              <w:top w:w="105" w:type="dxa"/>
              <w:start w:w="110" w:type="dxa"/>
              <w:bottom w:w="100" w:type="dxa"/>
              <w:end w:w="100" w:type="dxa"/>
            </w:tcMar>
          </w:tcPr>
          <w:p>
            <w:pPr>
              <w:spacing w:after="0"/>
            </w:pPr>
            <w:r>
              <w:rPr>
                <w:b w:val="0"/>
                <w:color w:val="25374A"/>
                <w:sz w:val="17"/>
              </w:rPr>
              <w:t>Fehleingaben sensibler Daten, verdächtige Ausgaben und Sicherheitsvorfälle umgehend intern melden.</w:t>
            </w:r>
          </w:p>
        </w:tc>
      </w:tr>
    </w:tbl>
    <w:p>
      <w:pPr>
        <w:spacing w:after="0"/>
      </w:pPr>
    </w:p>
    <w:p>
      <w:pPr>
        <w:pStyle w:val="Heading2"/>
      </w:pPr>
      <w:r>
        <w:t>Praktische Datenampel (interner Vorschlag)</w:t>
      </w:r>
    </w:p>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1531"/>
        <w:gridCol w:w="4139"/>
        <w:gridCol w:w="3969"/>
      </w:tblGrid>
      <w:tr>
        <w:tc>
          <w:tcPr>
            <w:tcW w:type="dxa" w:w="1531"/>
            <w:vAlign w:val="center"/>
            <w:tcMar>
              <w:top w:w="105" w:type="dxa"/>
              <w:start w:w="110" w:type="dxa"/>
              <w:bottom w:w="100" w:type="dxa"/>
              <w:end w:w="100" w:type="dxa"/>
            </w:tcMar>
            <w:shd w:fill="15243B"/>
          </w:tcPr>
          <w:p>
            <w:pPr>
              <w:spacing w:after="0"/>
            </w:pPr>
            <w:r>
              <w:rPr>
                <w:b/>
                <w:color w:val="FFFFFF"/>
                <w:sz w:val="17"/>
              </w:rPr>
              <w:t>Stufe</w:t>
            </w:r>
          </w:p>
        </w:tc>
        <w:tc>
          <w:tcPr>
            <w:tcW w:type="dxa" w:w="4139"/>
            <w:vAlign w:val="center"/>
            <w:tcMar>
              <w:top w:w="105" w:type="dxa"/>
              <w:start w:w="110" w:type="dxa"/>
              <w:bottom w:w="100" w:type="dxa"/>
              <w:end w:w="100" w:type="dxa"/>
            </w:tcMar>
            <w:shd w:fill="15243B"/>
          </w:tcPr>
          <w:p>
            <w:pPr>
              <w:spacing w:after="0"/>
            </w:pPr>
            <w:r>
              <w:rPr>
                <w:b/>
                <w:color w:val="FFFFFF"/>
                <w:sz w:val="17"/>
              </w:rPr>
              <w:t>Beispiele</w:t>
            </w:r>
          </w:p>
        </w:tc>
        <w:tc>
          <w:tcPr>
            <w:tcW w:type="dxa" w:w="3969"/>
            <w:vAlign w:val="center"/>
            <w:tcMar>
              <w:top w:w="105" w:type="dxa"/>
              <w:start w:w="110" w:type="dxa"/>
              <w:bottom w:w="100" w:type="dxa"/>
              <w:end w:w="100" w:type="dxa"/>
            </w:tcMar>
            <w:shd w:fill="15243B"/>
          </w:tcPr>
          <w:p>
            <w:pPr>
              <w:spacing w:after="0"/>
            </w:pPr>
            <w:r>
              <w:rPr>
                <w:b/>
                <w:color w:val="FFFFFF"/>
                <w:sz w:val="17"/>
              </w:rPr>
              <w:t>Regel</w:t>
            </w:r>
          </w:p>
        </w:tc>
      </w:tr>
      <w:tr>
        <w:tc>
          <w:tcPr>
            <w:tcW w:type="dxa" w:w="1531"/>
            <w:vAlign w:val="center"/>
            <w:tcMar>
              <w:top w:w="105" w:type="dxa"/>
              <w:start w:w="110" w:type="dxa"/>
              <w:bottom w:w="100" w:type="dxa"/>
              <w:end w:w="100" w:type="dxa"/>
            </w:tcMar>
            <w:shd w:fill="F5F8FC"/>
          </w:tcPr>
          <w:p>
            <w:pPr>
              <w:spacing w:after="0"/>
            </w:pPr>
            <w:r>
              <w:rPr>
                <w:b w:val="0"/>
                <w:color w:val="25374A"/>
                <w:sz w:val="17"/>
              </w:rPr>
              <w:t>Grün</w:t>
            </w:r>
          </w:p>
        </w:tc>
        <w:tc>
          <w:tcPr>
            <w:tcW w:type="dxa" w:w="4139"/>
            <w:vAlign w:val="center"/>
            <w:tcMar>
              <w:top w:w="105" w:type="dxa"/>
              <w:start w:w="110" w:type="dxa"/>
              <w:bottom w:w="100" w:type="dxa"/>
              <w:end w:w="100" w:type="dxa"/>
            </w:tcMar>
            <w:shd w:fill="F5F8FC"/>
          </w:tcPr>
          <w:p>
            <w:pPr>
              <w:spacing w:after="0"/>
            </w:pPr>
            <w:r>
              <w:rPr>
                <w:b w:val="0"/>
                <w:color w:val="25374A"/>
                <w:sz w:val="17"/>
              </w:rPr>
              <w:t>Öffentliche Produkttexte, frei verwendbare Informationen</w:t>
            </w:r>
          </w:p>
        </w:tc>
        <w:tc>
          <w:tcPr>
            <w:tcW w:type="dxa" w:w="3969"/>
            <w:vAlign w:val="center"/>
            <w:tcMar>
              <w:top w:w="105" w:type="dxa"/>
              <w:start w:w="110" w:type="dxa"/>
              <w:bottom w:w="100" w:type="dxa"/>
              <w:end w:w="100" w:type="dxa"/>
            </w:tcMar>
            <w:shd w:fill="F5F8FC"/>
          </w:tcPr>
          <w:p>
            <w:pPr>
              <w:spacing w:after="0"/>
            </w:pPr>
            <w:r>
              <w:rPr>
                <w:b w:val="0"/>
                <w:color w:val="25374A"/>
                <w:sz w:val="17"/>
              </w:rPr>
              <w:t>In genehmigten Tools grundsätzlich zulässig</w:t>
            </w:r>
          </w:p>
        </w:tc>
      </w:tr>
      <w:tr>
        <w:tc>
          <w:tcPr>
            <w:tcW w:type="dxa" w:w="1531"/>
            <w:vAlign w:val="center"/>
            <w:tcMar>
              <w:top w:w="105" w:type="dxa"/>
              <w:start w:w="110" w:type="dxa"/>
              <w:bottom w:w="100" w:type="dxa"/>
              <w:end w:w="100" w:type="dxa"/>
            </w:tcMar>
          </w:tcPr>
          <w:p>
            <w:pPr>
              <w:spacing w:after="0"/>
            </w:pPr>
            <w:r>
              <w:rPr>
                <w:b w:val="0"/>
                <w:color w:val="25374A"/>
                <w:sz w:val="17"/>
              </w:rPr>
              <w:t>Gelb</w:t>
            </w:r>
          </w:p>
        </w:tc>
        <w:tc>
          <w:tcPr>
            <w:tcW w:type="dxa" w:w="4139"/>
            <w:vAlign w:val="center"/>
            <w:tcMar>
              <w:top w:w="105" w:type="dxa"/>
              <w:start w:w="110" w:type="dxa"/>
              <w:bottom w:w="100" w:type="dxa"/>
              <w:end w:w="100" w:type="dxa"/>
            </w:tcMar>
          </w:tcPr>
          <w:p>
            <w:pPr>
              <w:spacing w:after="0"/>
            </w:pPr>
            <w:r>
              <w:rPr>
                <w:b w:val="0"/>
                <w:color w:val="25374A"/>
                <w:sz w:val="17"/>
              </w:rPr>
              <w:t>Interne Entwürfe, Prozessbeschreibungen, nichtöffentliche Zahlen</w:t>
            </w:r>
          </w:p>
        </w:tc>
        <w:tc>
          <w:tcPr>
            <w:tcW w:type="dxa" w:w="3969"/>
            <w:vAlign w:val="center"/>
            <w:tcMar>
              <w:top w:w="105" w:type="dxa"/>
              <w:start w:w="110" w:type="dxa"/>
              <w:bottom w:w="100" w:type="dxa"/>
              <w:end w:w="100" w:type="dxa"/>
            </w:tcMar>
          </w:tcPr>
          <w:p>
            <w:pPr>
              <w:spacing w:after="0"/>
            </w:pPr>
            <w:r>
              <w:rPr>
                <w:b w:val="0"/>
                <w:color w:val="25374A"/>
                <w:sz w:val="17"/>
              </w:rPr>
              <w:t>Nur nach Freigabe und ggf. Anonymisierung</w:t>
            </w:r>
          </w:p>
        </w:tc>
      </w:tr>
      <w:tr>
        <w:tc>
          <w:tcPr>
            <w:tcW w:type="dxa" w:w="1531"/>
            <w:vAlign w:val="center"/>
            <w:tcMar>
              <w:top w:w="105" w:type="dxa"/>
              <w:start w:w="110" w:type="dxa"/>
              <w:bottom w:w="100" w:type="dxa"/>
              <w:end w:w="100" w:type="dxa"/>
            </w:tcMar>
            <w:shd w:fill="F5F8FC"/>
          </w:tcPr>
          <w:p>
            <w:pPr>
              <w:spacing w:after="0"/>
            </w:pPr>
            <w:r>
              <w:rPr>
                <w:b w:val="0"/>
                <w:color w:val="25374A"/>
                <w:sz w:val="17"/>
              </w:rPr>
              <w:t>Rot</w:t>
            </w:r>
          </w:p>
        </w:tc>
        <w:tc>
          <w:tcPr>
            <w:tcW w:type="dxa" w:w="4139"/>
            <w:vAlign w:val="center"/>
            <w:tcMar>
              <w:top w:w="105" w:type="dxa"/>
              <w:start w:w="110" w:type="dxa"/>
              <w:bottom w:w="100" w:type="dxa"/>
              <w:end w:w="100" w:type="dxa"/>
            </w:tcMar>
            <w:shd w:fill="F5F8FC"/>
          </w:tcPr>
          <w:p>
            <w:pPr>
              <w:spacing w:after="0"/>
            </w:pPr>
            <w:r>
              <w:rPr>
                <w:b w:val="0"/>
                <w:color w:val="25374A"/>
                <w:sz w:val="17"/>
              </w:rPr>
              <w:t>Passwörter, Kundendatensätze, Gesundheitsdaten, Geschäftsgeheimnisse</w:t>
            </w:r>
          </w:p>
        </w:tc>
        <w:tc>
          <w:tcPr>
            <w:tcW w:type="dxa" w:w="3969"/>
            <w:vAlign w:val="center"/>
            <w:tcMar>
              <w:top w:w="105" w:type="dxa"/>
              <w:start w:w="110" w:type="dxa"/>
              <w:bottom w:w="100" w:type="dxa"/>
              <w:end w:w="100" w:type="dxa"/>
            </w:tcMar>
            <w:shd w:fill="F5F8FC"/>
          </w:tcPr>
          <w:p>
            <w:pPr>
              <w:spacing w:after="0"/>
            </w:pPr>
            <w:r>
              <w:rPr>
                <w:b w:val="0"/>
                <w:color w:val="25374A"/>
                <w:sz w:val="17"/>
              </w:rPr>
              <w:t>Keine Eingabe ohne gesondert geprüfte und dokumentierte Ausnahme</w:t>
            </w:r>
          </w:p>
        </w:tc>
      </w:tr>
    </w:tbl>
    <w:p>
      <w:pPr>
        <w:spacing w:after="0"/>
      </w:pPr>
    </w:p>
    <w:p>
      <w:r>
        <w:rPr>
          <w:b w:val="0"/>
          <w:i w:val="0"/>
          <w:sz w:val="18"/>
        </w:rPr>
        <w:t>Die Ampel ist eine interne Schutzregel, keine gesetzliche Klassifizierung.</w:t>
      </w:r>
    </w:p>
    <w:p>
      <w:r>
        <w:br w:type="page"/>
      </w:r>
    </w:p>
    <w:p>
      <w:pPr>
        <w:spacing w:before="100" w:after="140"/>
      </w:pPr>
      <w:r>
        <w:rPr>
          <w:b/>
          <w:i w:val="0"/>
          <w:color w:val="008F8A"/>
          <w:sz w:val="16"/>
        </w:rPr>
        <w:t>DIREKT ÜBERNEHMBARE MUSTERRICHTLINIE</w:t>
      </w:r>
    </w:p>
    <w:p>
      <w:pPr>
        <w:pStyle w:val="Heading1"/>
      </w:pPr>
      <w:r>
        <w:t>Mustertext für Mitarbeitende</w:t>
      </w:r>
    </w:p>
    <w:p>
      <w:r>
        <w:rPr>
          <w:b w:val="0"/>
          <w:i w:val="0"/>
        </w:rPr>
        <w:t>1. Zweck und Geltungsbereich. Diese Richtlinie regelt die dienstliche Nutzung generativer KI-Anwendungen durch alle Personen, die im Auftrag von [Unternehmen] arbeiten. Sie ergänzt bestehende Datenschutz-, IT- und Vertraulichkeitsregelungen.</w:t>
      </w:r>
    </w:p>
    <w:p>
      <w:r>
        <w:rPr>
          <w:b w:val="0"/>
          <w:i w:val="0"/>
        </w:rPr>
        <w:t>2. Zugelassene Anwendungen. Für berufliche Aufgaben dürfen ausschließlich folgende freigegebene Anwendungen und Konten genutzt werden: [Tool, Lizenz/Account, erlaubter Zweck]. Weitere Anwendungen bedürfen vorab einer Freigabe durch [Rolle].</w:t>
      </w:r>
    </w:p>
    <w:p>
      <w:r>
        <w:rPr>
          <w:b w:val="0"/>
          <w:i w:val="0"/>
        </w:rPr>
        <w:t>3. Daten und Eingaben. Mitarbeitende geben nur Informationen ein, die für den jeweiligen Zweck notwendig und für das verwendete System freigegeben sind. Vertrauliche Informationen, personenbezogene Daten und personenbezogene Sonderkategorien dürfen nur aufgrund gesonderter, dokumentierter Prüfung verarbeitet werden. Zugangsdaten und Geheimnisse dürfen niemals eingegeben werden.</w:t>
      </w:r>
    </w:p>
    <w:p>
      <w:r>
        <w:rPr>
          <w:b w:val="0"/>
          <w:i w:val="0"/>
        </w:rPr>
        <w:t>4. Kontrolle und Verantwortung. KI-Ergebnisse sind Entwürfe und können falsch, unvollständig oder erfunden sein. Wer die Ergebnisse verwendet, überprüft deren fachliche Eignung, wesentliche Fakten und Quellen. Entscheidungen mit erheblichen Auswirkungen werden durch zuständige Personen getroffen.</w:t>
      </w:r>
    </w:p>
    <w:p>
      <w:r>
        <w:rPr>
          <w:b w:val="0"/>
          <w:i w:val="0"/>
        </w:rPr>
        <w:t>5. Externe Nutzung. Bevor KI-erstellte Inhalte veröffentlicht oder an Dritte weitergegeben werden, werden sie auf sachliche Richtigkeit, Vertraulichkeit, Urheberrechte, Markenrechte und erforderliche Transparenz überprüft.</w:t>
      </w:r>
    </w:p>
    <w:p>
      <w:r>
        <w:rPr>
          <w:b w:val="0"/>
          <w:i w:val="0"/>
        </w:rPr>
        <w:t>6. Besondere Einsatzfälle. KI für Bewerberauswahl, Mitarbeiterüberwachung, Leistungsbewertung oder andere sensible Bewertungen darf nicht ohne gesonderte rechtliche und fachliche Freigabe eingesetzt werden.</w:t>
      </w:r>
    </w:p>
    <w:p>
      <w:r>
        <w:rPr>
          <w:b w:val="0"/>
          <w:i w:val="0"/>
        </w:rPr>
        <w:t>7. Meldungen. Versehentlich eingegebene geschützte Daten, unerwartete Weitergaben oder verdächtige KI-Aktivitäten sind unverzüglich an [Kontakt] zu melden. Meldungen dienen der raschen Schadensbegrenzung.</w:t>
      </w:r>
    </w:p>
    <w:p>
      <w:r>
        <w:rPr>
          <w:b w:val="0"/>
          <w:i w:val="0"/>
        </w:rPr>
        <w:t>8. Schulung und Aktualisierung. Betroffene Mitarbeitende erhalten eine ihrem Einsatzbereich entsprechende Einführung. Diese Richtlinie wird bei neuen Tools, neuen Risiken und mindestens im empfohlenen internen Prüfintervall aktualisiert: [Intervall].</w:t>
      </w:r>
    </w:p>
    <w:tbl>
      <w:tblPr>
        <w:tblW w:type="auto" w:w="0"/>
        <w:tblLayout w:type="fixed"/>
        <w:tblLook w:firstColumn="1" w:firstRow="1" w:lastColumn="0" w:lastRow="0" w:noHBand="0" w:noVBand="1" w:val="04A0"/>
      </w:tblPr>
      <w:tblGrid>
        <w:gridCol w:w="9638"/>
      </w:tblGrid>
      <w:tr>
        <w:tc>
          <w:tcPr>
            <w:tcW w:type="dxa" w:w="9638"/>
            <w:shd w:fill="F5F8FC"/>
            <w:tcMar>
              <w:top w:w="110" w:type="dxa"/>
              <w:start w:w="160" w:type="dxa"/>
              <w:bottom w:w="100" w:type="dxa"/>
              <w:end w:w="160" w:type="dxa"/>
            </w:tcMar>
          </w:tcPr>
          <w:p>
            <w:pPr>
              <w:spacing w:after="80"/>
            </w:pPr>
            <w:r>
              <w:rPr>
                <w:b/>
                <w:i w:val="0"/>
                <w:color w:val="15243B"/>
                <w:sz w:val="18"/>
              </w:rPr>
              <w:t>Freigabevermerk</w:t>
            </w:r>
          </w:p>
          <w:p>
            <w:pPr>
              <w:spacing w:after="0"/>
            </w:pPr>
            <w:r>
              <w:rPr>
                <w:b w:val="0"/>
                <w:i w:val="0"/>
                <w:sz w:val="18"/>
              </w:rPr>
              <w:t>Beschlossen am: __________________   Verantwortlich: __________________   Nächste Überprüfung: __________________</w:t>
            </w:r>
          </w:p>
        </w:tc>
      </w:tr>
    </w:tbl>
    <w:p>
      <w:pPr>
        <w:spacing w:after="0"/>
      </w:pPr>
    </w:p>
    <w:p>
      <w:r>
        <w:br w:type="page"/>
      </w:r>
    </w:p>
    <w:p>
      <w:pPr>
        <w:spacing w:before="100" w:after="140"/>
      </w:pPr>
      <w:r>
        <w:rPr>
          <w:b/>
          <w:i w:val="0"/>
          <w:color w:val="008F8A"/>
          <w:sz w:val="16"/>
        </w:rPr>
        <w:t>EINFÜHRUNG UND PRAXISTEST</w:t>
      </w:r>
    </w:p>
    <w:p>
      <w:pPr>
        <w:pStyle w:val="Heading1"/>
      </w:pPr>
      <w:r>
        <w:t>Checkliste für Geschäftsführung und IT</w:t>
      </w:r>
    </w:p>
    <w:p>
      <w:pPr>
        <w:spacing w:after="80"/>
        <w:ind w:left="142"/>
      </w:pPr>
      <w:r>
        <w:rPr>
          <w:b/>
          <w:i w:val="0"/>
          <w:color w:val="008F8A"/>
          <w:sz w:val="18"/>
        </w:rPr>
        <w:t xml:space="preserve">☐  </w:t>
      </w:r>
      <w:r>
        <w:rPr>
          <w:b w:val="0"/>
          <w:i w:val="0"/>
          <w:sz w:val="18"/>
        </w:rPr>
        <w:t>Verwendete KI-Tools und Zwecke inventarisieren.</w:t>
      </w:r>
    </w:p>
    <w:p>
      <w:pPr>
        <w:spacing w:after="80"/>
        <w:ind w:left="142"/>
      </w:pPr>
      <w:r>
        <w:rPr>
          <w:b/>
          <w:i w:val="0"/>
          <w:color w:val="008F8A"/>
          <w:sz w:val="18"/>
        </w:rPr>
        <w:t xml:space="preserve">☐  </w:t>
      </w:r>
      <w:r>
        <w:rPr>
          <w:b w:val="0"/>
          <w:i w:val="0"/>
          <w:sz w:val="18"/>
        </w:rPr>
        <w:t>Geschäftliche Konten, Zugriffsrechte und Anbieterbedingungen prüfen.</w:t>
      </w:r>
    </w:p>
    <w:p>
      <w:pPr>
        <w:spacing w:after="80"/>
        <w:ind w:left="142"/>
      </w:pPr>
      <w:r>
        <w:rPr>
          <w:b/>
          <w:i w:val="0"/>
          <w:color w:val="008F8A"/>
          <w:sz w:val="18"/>
        </w:rPr>
        <w:t xml:space="preserve">☐  </w:t>
      </w:r>
      <w:r>
        <w:rPr>
          <w:b w:val="0"/>
          <w:i w:val="0"/>
          <w:sz w:val="18"/>
        </w:rPr>
        <w:t>Personenbezogene Daten, Auftragsverarbeitung und Übermittlungen datenschutzrechtlich bewerten.</w:t>
      </w:r>
    </w:p>
    <w:p>
      <w:pPr>
        <w:spacing w:after="80"/>
        <w:ind w:left="142"/>
      </w:pPr>
      <w:r>
        <w:rPr>
          <w:b/>
          <w:i w:val="0"/>
          <w:color w:val="008F8A"/>
          <w:sz w:val="18"/>
        </w:rPr>
        <w:t xml:space="preserve">☐  </w:t>
      </w:r>
      <w:r>
        <w:rPr>
          <w:b w:val="0"/>
          <w:i w:val="0"/>
          <w:sz w:val="18"/>
        </w:rPr>
        <w:t>Erlaubte und verbotene Datenarten je Anwendung festlegen.</w:t>
      </w:r>
    </w:p>
    <w:p>
      <w:pPr>
        <w:spacing w:after="80"/>
        <w:ind w:left="142"/>
      </w:pPr>
      <w:r>
        <w:rPr>
          <w:b/>
          <w:i w:val="0"/>
          <w:color w:val="008F8A"/>
          <w:sz w:val="18"/>
        </w:rPr>
        <w:t xml:space="preserve">☐  </w:t>
      </w:r>
      <w:r>
        <w:rPr>
          <w:b w:val="0"/>
          <w:i w:val="0"/>
          <w:sz w:val="18"/>
        </w:rPr>
        <w:t>Meldeweg bei Fehlverwendung oder Datenabfluss kommunizieren.</w:t>
      </w:r>
    </w:p>
    <w:p>
      <w:pPr>
        <w:spacing w:after="80"/>
        <w:ind w:left="142"/>
      </w:pPr>
      <w:r>
        <w:rPr>
          <w:b/>
          <w:i w:val="0"/>
          <w:color w:val="008F8A"/>
          <w:sz w:val="18"/>
        </w:rPr>
        <w:t xml:space="preserve">☐  </w:t>
      </w:r>
      <w:r>
        <w:rPr>
          <w:b w:val="0"/>
          <w:i w:val="0"/>
          <w:sz w:val="18"/>
        </w:rPr>
        <w:t>Mitarbeitende anhand von zwei echten Arbeitsszenarien unterweisen.</w:t>
      </w:r>
    </w:p>
    <w:p>
      <w:pPr>
        <w:spacing w:after="80"/>
        <w:ind w:left="142"/>
      </w:pPr>
      <w:r>
        <w:rPr>
          <w:b/>
          <w:i w:val="0"/>
          <w:color w:val="008F8A"/>
          <w:sz w:val="18"/>
        </w:rPr>
        <w:t xml:space="preserve">☐  </w:t>
      </w:r>
      <w:r>
        <w:rPr>
          <w:b w:val="0"/>
          <w:i w:val="0"/>
          <w:sz w:val="18"/>
        </w:rPr>
        <w:t>Verantwortliche Person und Termin zur Überprüfung festlegen.</w:t>
      </w:r>
    </w:p>
    <w:p>
      <w:pPr>
        <w:pStyle w:val="Heading2"/>
      </w:pPr>
      <w:r>
        <w:t>Zwei Übungen für die Einführung</w:t>
      </w:r>
    </w:p>
    <w:p>
      <w:r>
        <w:rPr>
          <w:b w:val="0"/>
          <w:i w:val="0"/>
        </w:rPr>
        <w:t>Fall A: Eine Mitarbeiterin möchte 30 Kundennachrichten in ein KI-Tool kopieren, um Beschwerden zusammenzufassen. Richtiger nächster Schritt: Daten und Toolfreigabe prüfen; personenbezogene Informationen nicht ungeprüft eingeben. Falls möglich, mit anonymisierten Beispielen arbeiten.</w:t>
      </w:r>
    </w:p>
    <w:p>
      <w:r>
        <w:rPr>
          <w:b w:val="0"/>
          <w:i w:val="0"/>
        </w:rPr>
        <w:t>Fall B: Die KI schlägt einen rechtlichen Satz für ein Kundenangebot vor. Richtiger nächster Schritt: Aussage anhand geeigneter Primärquellen prüfen und bei rechtlicher Relevanz fachlich freigeben lassen.</w:t>
      </w:r>
    </w:p>
    <w:p>
      <w:pPr>
        <w:pStyle w:val="Heading2"/>
      </w:pPr>
      <w:r>
        <w:t>Quellen und Hinweise</w:t>
      </w:r>
    </w:p>
    <w:p>
      <w:pPr>
        <w:spacing w:after="80"/>
      </w:pPr>
      <w:r>
        <w:rPr>
          <w:b w:val="0"/>
          <w:i w:val="0"/>
          <w:sz w:val="16"/>
        </w:rPr>
        <w:t xml:space="preserve">• EU AI Act, Art. 4 (konsolidiert 2026)  </w:t>
      </w:r>
      <w:hyperlink r:id="rId11">
        <w:r>
          <w:rPr>
            <w:color w:val="1877D3"/>
            <w:u w:val="single"/>
            <w:sz w:val="16"/>
          </w:rPr>
          <w:t>Quelle ansehen</w:t>
        </w:r>
      </w:hyperlink>
    </w:p>
    <w:p>
      <w:pPr>
        <w:spacing w:after="80"/>
      </w:pPr>
      <w:r>
        <w:rPr>
          <w:b w:val="0"/>
          <w:i w:val="0"/>
          <w:sz w:val="16"/>
        </w:rPr>
        <w:t xml:space="preserve">• EU-Kommission: KI-Kompetenz – Fragen und Antworten  </w:t>
      </w:r>
      <w:hyperlink r:id="rId12">
        <w:r>
          <w:rPr>
            <w:color w:val="1877D3"/>
            <w:u w:val="single"/>
            <w:sz w:val="16"/>
          </w:rPr>
          <w:t>Quelle ansehen</w:t>
        </w:r>
      </w:hyperlink>
    </w:p>
    <w:p>
      <w:pPr>
        <w:spacing w:after="80"/>
      </w:pPr>
      <w:r>
        <w:rPr>
          <w:b w:val="0"/>
          <w:i w:val="0"/>
          <w:sz w:val="16"/>
        </w:rPr>
        <w:t xml:space="preserve">• Europäischer Datenschutzausschuss: DSGVO-Grundsätze  </w:t>
      </w:r>
      <w:hyperlink r:id="rId13">
        <w:r>
          <w:rPr>
            <w:color w:val="1877D3"/>
            <w:u w:val="single"/>
            <w:sz w:val="16"/>
          </w:rPr>
          <w:t>Quelle ansehen</w:t>
        </w:r>
      </w:hyperlink>
    </w:p>
    <w:p>
      <w:pPr>
        <w:spacing w:after="80"/>
      </w:pPr>
      <w:r>
        <w:rPr>
          <w:b w:val="0"/>
          <w:i w:val="0"/>
          <w:sz w:val="16"/>
        </w:rPr>
        <w:t xml:space="preserve">• NIST: AI Risk Management Framework  </w:t>
      </w:r>
      <w:hyperlink r:id="rId14">
        <w:r>
          <w:rPr>
            <w:color w:val="1877D3"/>
            <w:u w:val="single"/>
            <w:sz w:val="16"/>
          </w:rPr>
          <w:t>Quelle ansehen</w:t>
        </w:r>
      </w:hyperlink>
    </w:p>
    <w:p>
      <w:pPr>
        <w:spacing w:before="100"/>
      </w:pPr>
      <w:r>
        <w:rPr>
          <w:b/>
          <w:i w:val="0"/>
          <w:color w:val="586A7C"/>
          <w:sz w:val="15"/>
        </w:rPr>
        <w:t xml:space="preserve">Hinweis: </w:t>
      </w:r>
      <w:r>
        <w:rPr>
          <w:b w:val="0"/>
          <w:i w:val="0"/>
          <w:color w:val="586A7C"/>
          <w:sz w:val="15"/>
        </w:rPr>
        <w:t>Praxisvorlage, keine Rechtsberatung. Vor der Verwendung an Unternehmen, Systeme, Verträge und interne Abläufe anpassen.</w:t>
      </w:r>
    </w:p>
    <w:sectPr w:rsidR="00FC693F" w:rsidRPr="0006063C" w:rsidSect="00034616">
      <w:headerReference w:type="default" r:id="rId9"/>
      <w:footerReference w:type="default" r:id="rId10"/>
      <w:pgSz w:w="11906" w:h="16838"/>
      <w:pgMar w:top="1191" w:right="1134" w:bottom="964" w:left="1134" w:header="482" w:footer="48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jc w:val="left"/>
    </w:pPr>
    <w:r>
      <w:rPr>
        <w:b/>
        <w:i w:val="0"/>
        <w:color w:val="1877D3"/>
        <w:sz w:val="16"/>
      </w:rPr>
      <w:t>rookie-learning.com</w:t>
    </w:r>
    <w:r>
      <w:rPr>
        <w:b w:val="0"/>
        <w:i w:val="0"/>
        <w:color w:val="586A7C"/>
        <w:sz w:val="15"/>
      </w:rPr>
      <w:t xml:space="preserve">  •  KI-Nutzungsrichtlinie  •  Stand: 20.10.2026</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jc w:val="left"/>
    </w:pPr>
    <w:r>
      <w:rPr>
        <w:b/>
        <w:i w:val="0"/>
        <w:color w:val="15243B"/>
        <w:sz w:val="20"/>
      </w:rPr>
      <w:t>ROOKIE</w:t>
    </w:r>
    <w:r>
      <w:rPr>
        <w:b/>
        <w:i w:val="0"/>
        <w:color w:val="1877D3"/>
        <w:sz w:val="20"/>
      </w:rPr>
      <w:t xml:space="preserve">  LEARNING</w:t>
    </w:r>
    <w:r>
      <w:rPr>
        <w:b w:val="0"/>
        <w:i w:val="0"/>
        <w:color w:val="586A7C"/>
        <w:sz w:val="14"/>
      </w:rPr>
      <w:t xml:space="preserve">   |   PRAXISHILFE FÜR KMU</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88" w:lineRule="auto"/>
    </w:pPr>
    <w:rPr>
      <w:rFonts w:ascii="Aptos" w:hAnsi="Aptos"/>
      <w:color w:val="25374A"/>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00" w:after="160"/>
      <w:outlineLvl w:val="0"/>
    </w:pPr>
    <w:rPr>
      <w:rFonts w:asciiTheme="majorHAnsi" w:eastAsiaTheme="majorEastAsia" w:hAnsiTheme="majorHAnsi" w:cstheme="majorBidi" w:ascii="Aptos" w:hAnsi="Aptos"/>
      <w:b/>
      <w:bCs/>
      <w:color w:val="15243B"/>
      <w:sz w:val="29"/>
      <w:szCs w:val="28"/>
    </w:rPr>
  </w:style>
  <w:style w:type="paragraph" w:styleId="Heading2">
    <w:name w:val="heading 2"/>
    <w:basedOn w:val="Normal"/>
    <w:next w:val="Normal"/>
    <w:link w:val="Heading2Char"/>
    <w:uiPriority w:val="9"/>
    <w:unhideWhenUsed/>
    <w:qFormat/>
    <w:rsid w:val="00FC693F"/>
    <w:pPr>
      <w:keepNext/>
      <w:keepLines/>
      <w:spacing w:before="200" w:after="100"/>
      <w:outlineLvl w:val="1"/>
    </w:pPr>
    <w:rPr>
      <w:rFonts w:asciiTheme="majorHAnsi" w:eastAsiaTheme="majorEastAsia" w:hAnsiTheme="majorHAnsi" w:cstheme="majorBidi" w:ascii="Aptos" w:hAnsi="Aptos"/>
      <w:b/>
      <w:bCs/>
      <w:color w:val="1877D3"/>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80" w:line="240" w:lineRule="auto" w:before="0"/>
      <w:contextualSpacing/>
    </w:pPr>
    <w:rPr>
      <w:rFonts w:asciiTheme="majorHAnsi" w:eastAsiaTheme="majorEastAsia" w:hAnsiTheme="majorHAnsi" w:cstheme="majorBidi" w:ascii="Aptos Display" w:hAnsi="Aptos Display"/>
      <w:b/>
      <w:color w:val="15243B"/>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eur-lex.europa.eu/legal-content/EN/TXT/?uri=CELEX:02024R1689-20260727" TargetMode="External"/><Relationship Id="rId12" Type="http://schemas.openxmlformats.org/officeDocument/2006/relationships/hyperlink" Target="https://digital-strategy.ec.europa.eu/en/faqs/ai-literacy-questions-answers" TargetMode="External"/><Relationship Id="rId13" Type="http://schemas.openxmlformats.org/officeDocument/2006/relationships/hyperlink" Target="https://www.edpb.europa.eu/topics/key-gdpr-concepts/basic-principles_en" TargetMode="External"/><Relationship Id="rId14" Type="http://schemas.openxmlformats.org/officeDocument/2006/relationships/hyperlink" Target="https://www.nist.gov/itl/ai-risk-management-framewor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Praxishilfe für österreichische KMU</dc:subject>
  <dc:creator>Rookie Learning</dc:creator>
  <cp:keywords>Rookie Learning, KI, Cybersecurity, KMU, Checkliste, Österreich</cp:keywords>
  <dc:description>generated by python-docx</dc:description>
  <cp:lastModifiedBy/>
  <cp:revision>1</cp:revision>
  <dcterms:created xsi:type="dcterms:W3CDTF">2013-12-23T23:15:00Z</dcterms:created>
  <dcterms:modified xsi:type="dcterms:W3CDTF">2013-12-23T23:15:00Z</dcterms:modified>
  <cp:category/>
</cp:coreProperties>
</file>